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10C1" w:rsidRPr="00013D11" w:rsidRDefault="006B28AC" w:rsidP="00013D11">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c">
            <w:drawing>
              <wp:inline distT="0" distB="0" distL="0" distR="0">
                <wp:extent cx="6400800" cy="114300"/>
                <wp:effectExtent l="9525" t="5080" r="9525" b="444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0" y="3466"/>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43514EA" id="Canvas 2" o:spid="_x0000_s1026" editas="canvas" style="width:7in;height:9pt;mso-position-horizontal-relative:char;mso-position-vertical-relative:line" coordsize="6400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43;visibility:visible;mso-wrap-style:square">
                  <v:fill o:detectmouseclick="t"/>
                  <v:path o:connecttype="none"/>
                </v:shape>
                <v:line id="Line 4" o:spid="_x0000_s1028" style="position:absolute;visibility:visible;mso-wrap-style:square" from="0,34" to="640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FC10C1" w:rsidRPr="00013D11" w:rsidRDefault="00FC10C1" w:rsidP="00013D11">
      <w:pPr>
        <w:jc w:val="both"/>
        <w:rPr>
          <w:rFonts w:ascii="Arial" w:hAnsi="Arial" w:cs="Arial"/>
          <w:sz w:val="22"/>
          <w:szCs w:val="22"/>
        </w:rPr>
      </w:pPr>
    </w:p>
    <w:p w:rsidR="00F84CE9" w:rsidRPr="00013D11" w:rsidRDefault="00F84CE9" w:rsidP="00013D1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color w:val="auto"/>
          <w:sz w:val="22"/>
          <w:szCs w:val="22"/>
          <w:lang w:val="en-GB"/>
        </w:rPr>
      </w:pPr>
      <w:r w:rsidRPr="00013D11">
        <w:rPr>
          <w:rFonts w:ascii="Arial" w:hAnsi="Arial" w:cs="Arial"/>
          <w:bCs/>
          <w:sz w:val="22"/>
          <w:szCs w:val="22"/>
          <w:lang w:val="en-GB"/>
        </w:rPr>
        <w:t>The State Procurement Policy (SPP) sets the governance framework for Government procurement. It currently applies to departments, statutory bodies and Government Owned Corporations (GOCs). The SPP provid</w:t>
      </w:r>
      <w:r w:rsidR="00C273DF">
        <w:rPr>
          <w:rFonts w:ascii="Arial" w:hAnsi="Arial" w:cs="Arial"/>
          <w:bCs/>
          <w:sz w:val="22"/>
          <w:szCs w:val="22"/>
          <w:lang w:val="en-GB"/>
        </w:rPr>
        <w:t>es</w:t>
      </w:r>
      <w:r w:rsidRPr="00013D11">
        <w:rPr>
          <w:rFonts w:ascii="Arial" w:hAnsi="Arial" w:cs="Arial"/>
          <w:bCs/>
          <w:sz w:val="22"/>
          <w:szCs w:val="22"/>
          <w:lang w:val="en-GB"/>
        </w:rPr>
        <w:t xml:space="preserve"> a framework for the conduct of procurement activities whilst advancing the Government’s priorities, and achieving value for money with probity </w:t>
      </w:r>
      <w:r w:rsidRPr="00013D11">
        <w:rPr>
          <w:rFonts w:ascii="Arial" w:hAnsi="Arial" w:cs="Arial"/>
          <w:bCs/>
          <w:color w:val="auto"/>
          <w:sz w:val="22"/>
          <w:szCs w:val="22"/>
          <w:lang w:val="en-GB"/>
        </w:rPr>
        <w:t xml:space="preserve">and accountability. </w:t>
      </w:r>
    </w:p>
    <w:p w:rsidR="00F84CE9" w:rsidRPr="00013D11" w:rsidRDefault="00013D11" w:rsidP="00013D11">
      <w:pPr>
        <w:keepLines/>
        <w:numPr>
          <w:ilvl w:val="0"/>
          <w:numId w:val="5"/>
        </w:numPr>
        <w:spacing w:before="240"/>
        <w:jc w:val="both"/>
        <w:rPr>
          <w:rFonts w:ascii="Arial" w:hAnsi="Arial" w:cs="Arial"/>
          <w:color w:val="auto"/>
          <w:sz w:val="22"/>
          <w:szCs w:val="22"/>
        </w:rPr>
      </w:pPr>
      <w:r w:rsidRPr="00013D11">
        <w:rPr>
          <w:rFonts w:ascii="Arial" w:hAnsi="Arial" w:cs="Arial"/>
          <w:sz w:val="22"/>
          <w:szCs w:val="22"/>
        </w:rPr>
        <w:t xml:space="preserve">In late 2009, the Government released its </w:t>
      </w:r>
      <w:r w:rsidRPr="00013D11">
        <w:rPr>
          <w:rFonts w:ascii="Arial" w:hAnsi="Arial" w:cs="Arial"/>
          <w:sz w:val="22"/>
          <w:szCs w:val="22"/>
        </w:rPr>
        <w:fldChar w:fldCharType="begin"/>
      </w:r>
      <w:r w:rsidRPr="00013D11">
        <w:rPr>
          <w:rFonts w:ascii="Arial" w:hAnsi="Arial" w:cs="Arial"/>
          <w:sz w:val="22"/>
          <w:szCs w:val="22"/>
        </w:rPr>
        <w:instrText xml:space="preserve">  </w:instrText>
      </w:r>
      <w:r w:rsidRPr="00013D11">
        <w:rPr>
          <w:rFonts w:ascii="Arial" w:hAnsi="Arial" w:cs="Arial"/>
          <w:sz w:val="22"/>
          <w:szCs w:val="22"/>
        </w:rPr>
        <w:fldChar w:fldCharType="begin"/>
      </w:r>
      <w:r w:rsidRPr="00013D11">
        <w:rPr>
          <w:rFonts w:ascii="Arial" w:hAnsi="Arial" w:cs="Arial"/>
          <w:sz w:val="22"/>
          <w:szCs w:val="22"/>
        </w:rPr>
        <w:instrText xml:space="preserve"> PRIVATE HREF="http://www.premiers.qld.gov.au/community-issues/open-transparent-gov/assets/response-to-integrity-accountability.pdf"</w:instrText>
      </w:r>
      <w:r w:rsidRPr="00013D11">
        <w:rPr>
          <w:rFonts w:ascii="Arial" w:hAnsi="Arial" w:cs="Arial"/>
          <w:sz w:val="22"/>
          <w:szCs w:val="22"/>
        </w:rPr>
        <w:fldChar w:fldCharType="end"/>
      </w:r>
      <w:r w:rsidRPr="00013D11">
        <w:rPr>
          <w:rFonts w:ascii="Arial" w:hAnsi="Arial" w:cs="Arial"/>
          <w:sz w:val="22"/>
          <w:szCs w:val="22"/>
        </w:rPr>
        <w:instrText xml:space="preserve"> MACROBUTTON HtmlResAnchor </w:instrText>
      </w:r>
      <w:r w:rsidRPr="00013D11">
        <w:rPr>
          <w:rFonts w:ascii="Arial" w:hAnsi="Arial" w:cs="Arial"/>
          <w:i/>
          <w:iCs/>
          <w:sz w:val="22"/>
          <w:szCs w:val="22"/>
        </w:rPr>
        <w:instrText>Response to Integrity and Accountability in Queensland</w:instrText>
      </w:r>
      <w:r w:rsidRPr="00013D11">
        <w:rPr>
          <w:rFonts w:ascii="Arial" w:hAnsi="Arial" w:cs="Arial"/>
          <w:sz w:val="22"/>
          <w:szCs w:val="22"/>
        </w:rPr>
        <w:fldChar w:fldCharType="end"/>
      </w:r>
      <w:r w:rsidRPr="00013D11">
        <w:rPr>
          <w:rFonts w:ascii="Arial" w:hAnsi="Arial" w:cs="Arial"/>
          <w:i/>
          <w:iCs/>
          <w:sz w:val="22"/>
          <w:szCs w:val="22"/>
        </w:rPr>
        <w:t xml:space="preserve"> </w:t>
      </w:r>
      <w:r w:rsidRPr="00013D11">
        <w:rPr>
          <w:rFonts w:ascii="Arial" w:hAnsi="Arial" w:cs="Arial"/>
          <w:sz w:val="22"/>
          <w:szCs w:val="22"/>
        </w:rPr>
        <w:t>(the ‘Government’s Response’)</w:t>
      </w:r>
      <w:r w:rsidRPr="00013D11">
        <w:rPr>
          <w:rFonts w:ascii="Arial" w:hAnsi="Arial" w:cs="Arial"/>
          <w:i/>
          <w:iCs/>
          <w:sz w:val="22"/>
          <w:szCs w:val="22"/>
        </w:rPr>
        <w:t xml:space="preserve"> </w:t>
      </w:r>
      <w:r w:rsidRPr="00013D11">
        <w:rPr>
          <w:rFonts w:ascii="Arial" w:hAnsi="Arial" w:cs="Arial"/>
          <w:sz w:val="22"/>
          <w:szCs w:val="22"/>
        </w:rPr>
        <w:t>which</w:t>
      </w:r>
      <w:r w:rsidRPr="00013D11">
        <w:rPr>
          <w:rFonts w:ascii="Arial" w:hAnsi="Arial" w:cs="Arial"/>
          <w:i/>
          <w:iCs/>
          <w:sz w:val="22"/>
          <w:szCs w:val="22"/>
        </w:rPr>
        <w:t xml:space="preserve"> </w:t>
      </w:r>
      <w:r w:rsidRPr="00013D11">
        <w:rPr>
          <w:rFonts w:ascii="Arial" w:hAnsi="Arial" w:cs="Arial"/>
          <w:sz w:val="22"/>
          <w:szCs w:val="22"/>
        </w:rPr>
        <w:t xml:space="preserve">outlines a plan of action for implementing the findings of the </w:t>
      </w:r>
      <w:r w:rsidRPr="00013D11">
        <w:rPr>
          <w:rFonts w:ascii="Arial" w:hAnsi="Arial" w:cs="Arial"/>
          <w:sz w:val="22"/>
          <w:szCs w:val="22"/>
        </w:rPr>
        <w:fldChar w:fldCharType="begin"/>
      </w:r>
      <w:r w:rsidRPr="00013D11">
        <w:rPr>
          <w:rFonts w:ascii="Arial" w:hAnsi="Arial" w:cs="Arial"/>
          <w:sz w:val="22"/>
          <w:szCs w:val="22"/>
        </w:rPr>
        <w:instrText xml:space="preserve">  </w:instrText>
      </w:r>
      <w:r w:rsidRPr="00013D11">
        <w:rPr>
          <w:rFonts w:ascii="Arial" w:hAnsi="Arial" w:cs="Arial"/>
          <w:sz w:val="22"/>
          <w:szCs w:val="22"/>
        </w:rPr>
        <w:fldChar w:fldCharType="begin"/>
      </w:r>
      <w:r w:rsidRPr="00013D11">
        <w:rPr>
          <w:rFonts w:ascii="Arial" w:hAnsi="Arial" w:cs="Arial"/>
          <w:sz w:val="22"/>
          <w:szCs w:val="22"/>
        </w:rPr>
        <w:instrText xml:space="preserve"> PRIVATE HREF="http://www.premiers.qld.gov.au/community-issues/open-transparent-gov/assets/integrity-and-accountability-paper.pdf"</w:instrText>
      </w:r>
      <w:r w:rsidRPr="00013D11">
        <w:rPr>
          <w:rFonts w:ascii="Arial" w:hAnsi="Arial" w:cs="Arial"/>
          <w:sz w:val="22"/>
          <w:szCs w:val="22"/>
        </w:rPr>
        <w:fldChar w:fldCharType="end"/>
      </w:r>
      <w:r w:rsidRPr="00013D11">
        <w:rPr>
          <w:rFonts w:ascii="Arial" w:hAnsi="Arial" w:cs="Arial"/>
          <w:sz w:val="22"/>
          <w:szCs w:val="22"/>
        </w:rPr>
        <w:instrText xml:space="preserve"> MACROBUTTON HtmlResAnchor </w:instrText>
      </w:r>
      <w:r w:rsidRPr="00013D11">
        <w:rPr>
          <w:rFonts w:ascii="Arial" w:hAnsi="Arial" w:cs="Arial"/>
          <w:i/>
          <w:iCs/>
          <w:sz w:val="22"/>
          <w:szCs w:val="22"/>
        </w:rPr>
        <w:instrText>Integrity and Accountability in Queensland</w:instrText>
      </w:r>
      <w:r w:rsidRPr="00013D11">
        <w:rPr>
          <w:rFonts w:ascii="Arial" w:hAnsi="Arial" w:cs="Arial"/>
          <w:sz w:val="22"/>
          <w:szCs w:val="22"/>
        </w:rPr>
        <w:fldChar w:fldCharType="end"/>
      </w:r>
      <w:r w:rsidRPr="00013D11">
        <w:rPr>
          <w:rFonts w:ascii="Arial" w:hAnsi="Arial" w:cs="Arial"/>
          <w:i/>
          <w:iCs/>
          <w:sz w:val="22"/>
          <w:szCs w:val="22"/>
        </w:rPr>
        <w:t xml:space="preserve"> </w:t>
      </w:r>
      <w:r w:rsidRPr="00013D11">
        <w:rPr>
          <w:rFonts w:ascii="Arial" w:hAnsi="Arial" w:cs="Arial"/>
          <w:sz w:val="22"/>
          <w:szCs w:val="22"/>
        </w:rPr>
        <w:t xml:space="preserve"> paper. The Response requires that amendments be made to the SPP.  Implementing these amendments has also provided an opportunity to update the SPP to include some further incremental improvements and to clarify provisions where required.</w:t>
      </w:r>
      <w:r w:rsidR="00F84CE9" w:rsidRPr="00013D11">
        <w:rPr>
          <w:rFonts w:ascii="Arial" w:hAnsi="Arial" w:cs="Arial"/>
          <w:color w:val="auto"/>
          <w:sz w:val="22"/>
          <w:szCs w:val="22"/>
        </w:rPr>
        <w:t xml:space="preserve"> </w:t>
      </w:r>
    </w:p>
    <w:p w:rsidR="002F161F" w:rsidRPr="00013D11" w:rsidRDefault="00013D11" w:rsidP="005A60B6">
      <w:pPr>
        <w:keepLines/>
        <w:numPr>
          <w:ilvl w:val="0"/>
          <w:numId w:val="5"/>
        </w:numPr>
        <w:spacing w:before="240"/>
        <w:jc w:val="both"/>
        <w:rPr>
          <w:rFonts w:ascii="Arial" w:hAnsi="Arial" w:cs="Arial"/>
          <w:sz w:val="22"/>
          <w:szCs w:val="22"/>
        </w:rPr>
      </w:pPr>
      <w:r w:rsidRPr="00013D11">
        <w:rPr>
          <w:rFonts w:ascii="Arial" w:hAnsi="Arial" w:cs="Arial"/>
          <w:bCs/>
          <w:sz w:val="22"/>
          <w:szCs w:val="22"/>
          <w:u w:val="single"/>
          <w:lang w:val="en-GB"/>
        </w:rPr>
        <w:t xml:space="preserve">Cabinet </w:t>
      </w:r>
      <w:r w:rsidR="002F161F" w:rsidRPr="00013D11">
        <w:rPr>
          <w:rFonts w:ascii="Arial" w:hAnsi="Arial" w:cs="Arial"/>
          <w:bCs/>
          <w:sz w:val="22"/>
          <w:szCs w:val="22"/>
          <w:u w:val="single"/>
          <w:lang w:val="en-GB"/>
        </w:rPr>
        <w:t>approve</w:t>
      </w:r>
      <w:r w:rsidR="00CD2858" w:rsidRPr="00013D11">
        <w:rPr>
          <w:rFonts w:ascii="Arial" w:hAnsi="Arial" w:cs="Arial"/>
          <w:bCs/>
          <w:sz w:val="22"/>
          <w:szCs w:val="22"/>
          <w:u w:val="single"/>
          <w:lang w:val="en-GB"/>
        </w:rPr>
        <w:t>d</w:t>
      </w:r>
      <w:r w:rsidR="002F161F" w:rsidRPr="00013D11">
        <w:rPr>
          <w:rFonts w:ascii="Arial" w:hAnsi="Arial" w:cs="Arial"/>
          <w:bCs/>
          <w:sz w:val="22"/>
          <w:szCs w:val="22"/>
          <w:lang w:val="en-GB"/>
        </w:rPr>
        <w:t xml:space="preserve"> the adoption of the revised State Procurement Policy by Queensland Government agencies, including budget sector agencies, GOCs, statutory bodies and Special Purpose Vehicles (SPV)</w:t>
      </w:r>
      <w:r>
        <w:rPr>
          <w:rFonts w:ascii="Arial" w:hAnsi="Arial" w:cs="Arial"/>
          <w:bCs/>
          <w:sz w:val="22"/>
          <w:szCs w:val="22"/>
          <w:lang w:val="en-GB"/>
        </w:rPr>
        <w:t>.</w:t>
      </w:r>
    </w:p>
    <w:p w:rsidR="00FC10C1" w:rsidRDefault="00013D11" w:rsidP="001B3A1D">
      <w:pPr>
        <w:keepLines/>
        <w:numPr>
          <w:ilvl w:val="0"/>
          <w:numId w:val="5"/>
        </w:numPr>
        <w:spacing w:before="360"/>
        <w:ind w:left="357" w:hanging="357"/>
        <w:jc w:val="both"/>
        <w:rPr>
          <w:rFonts w:ascii="Arial" w:hAnsi="Arial" w:cs="Arial"/>
          <w:sz w:val="22"/>
          <w:szCs w:val="22"/>
          <w:u w:val="single"/>
        </w:rPr>
      </w:pPr>
      <w:r w:rsidRPr="005A60B6">
        <w:rPr>
          <w:rFonts w:ascii="Arial" w:hAnsi="Arial" w:cs="Arial"/>
          <w:i/>
          <w:sz w:val="22"/>
          <w:szCs w:val="22"/>
          <w:u w:val="single"/>
        </w:rPr>
        <w:t>Attachment</w:t>
      </w:r>
    </w:p>
    <w:p w:rsidR="00013D11" w:rsidRPr="00013D11" w:rsidRDefault="00013D11" w:rsidP="00013D11">
      <w:pPr>
        <w:jc w:val="both"/>
        <w:rPr>
          <w:rFonts w:ascii="Arial" w:hAnsi="Arial" w:cs="Arial"/>
          <w:sz w:val="22"/>
          <w:szCs w:val="22"/>
          <w:u w:val="single"/>
        </w:rPr>
      </w:pPr>
    </w:p>
    <w:p w:rsidR="00013D11" w:rsidRPr="00013D11" w:rsidRDefault="00013D11" w:rsidP="00013D11">
      <w:pPr>
        <w:numPr>
          <w:ilvl w:val="0"/>
          <w:numId w:val="8"/>
        </w:numPr>
        <w:jc w:val="both"/>
        <w:rPr>
          <w:rFonts w:ascii="Arial" w:hAnsi="Arial" w:cs="Arial"/>
          <w:sz w:val="22"/>
          <w:szCs w:val="22"/>
        </w:rPr>
      </w:pPr>
      <w:r>
        <w:rPr>
          <w:rFonts w:ascii="Arial" w:hAnsi="Arial" w:cs="Arial"/>
          <w:sz w:val="22"/>
          <w:szCs w:val="22"/>
        </w:rPr>
        <w:t>Nil.</w:t>
      </w:r>
    </w:p>
    <w:p w:rsidR="009E6598" w:rsidRPr="00013D11" w:rsidRDefault="009E6598" w:rsidP="00013D11">
      <w:pPr>
        <w:jc w:val="both"/>
        <w:rPr>
          <w:rFonts w:ascii="Arial" w:hAnsi="Arial" w:cs="Arial"/>
          <w:sz w:val="22"/>
          <w:szCs w:val="22"/>
        </w:rPr>
      </w:pPr>
    </w:p>
    <w:sectPr w:rsidR="009E6598" w:rsidRPr="00013D11" w:rsidSect="00BF685E">
      <w:headerReference w:type="default" r:id="rId7"/>
      <w:pgSz w:w="11906" w:h="16838"/>
      <w:pgMar w:top="284" w:right="926" w:bottom="28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01" w:rsidRDefault="009D2501">
      <w:r>
        <w:separator/>
      </w:r>
    </w:p>
  </w:endnote>
  <w:endnote w:type="continuationSeparator" w:id="0">
    <w:p w:rsidR="009D2501" w:rsidRDefault="009D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01" w:rsidRDefault="009D2501">
      <w:r>
        <w:separator/>
      </w:r>
    </w:p>
  </w:footnote>
  <w:footnote w:type="continuationSeparator" w:id="0">
    <w:p w:rsidR="009D2501" w:rsidRDefault="009D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AA" w:rsidRPr="00013D11" w:rsidRDefault="006B28AC" w:rsidP="0064778E">
    <w:pPr>
      <w:pStyle w:val="Header"/>
      <w:jc w:val="both"/>
      <w:rPr>
        <w:rFonts w:ascii="Arial" w:hAnsi="Arial" w:cs="Arial"/>
        <w:color w:val="000000"/>
        <w:sz w:val="22"/>
        <w:szCs w:val="22"/>
      </w:rPr>
    </w:pPr>
    <w:r>
      <w:rPr>
        <w:rFonts w:ascii="Arial" w:hAnsi="Arial" w:cs="Arial"/>
        <w:noProof/>
        <w:sz w:val="22"/>
        <w:szCs w:val="22"/>
      </w:rPr>
      <w:drawing>
        <wp:inline distT="0" distB="0" distL="0" distR="0">
          <wp:extent cx="1473200" cy="467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467995"/>
                  </a:xfrm>
                  <a:prstGeom prst="rect">
                    <a:avLst/>
                  </a:prstGeom>
                  <a:noFill/>
                  <a:ln>
                    <a:noFill/>
                  </a:ln>
                </pic:spPr>
              </pic:pic>
            </a:graphicData>
          </a:graphic>
        </wp:inline>
      </w:drawing>
    </w:r>
    <w:r w:rsidR="009771AA">
      <w:rPr>
        <w:rFonts w:ascii="Arial" w:hAnsi="Arial" w:cs="Arial"/>
        <w:sz w:val="22"/>
        <w:szCs w:val="22"/>
      </w:rPr>
      <w:tab/>
    </w:r>
    <w:r w:rsidR="009771AA" w:rsidRPr="00D57319">
      <w:rPr>
        <w:rFonts w:ascii="Arial" w:hAnsi="Arial" w:cs="Arial"/>
        <w:b/>
        <w:sz w:val="22"/>
        <w:szCs w:val="22"/>
        <w:u w:val="single"/>
      </w:rPr>
      <w:t xml:space="preserve">Cabinet - </w:t>
    </w:r>
    <w:r w:rsidR="009771AA" w:rsidRPr="00D57319">
      <w:rPr>
        <w:rFonts w:ascii="Arial" w:hAnsi="Arial" w:cs="Arial"/>
        <w:b/>
        <w:bCs/>
        <w:color w:val="000000"/>
        <w:sz w:val="22"/>
        <w:szCs w:val="22"/>
        <w:u w:val="single"/>
      </w:rPr>
      <w:t>August</w:t>
    </w:r>
    <w:r w:rsidR="009771AA" w:rsidRPr="0064778E">
      <w:rPr>
        <w:rFonts w:ascii="Arial" w:hAnsi="Arial" w:cs="Arial"/>
        <w:b/>
        <w:bCs/>
        <w:color w:val="000000"/>
        <w:sz w:val="22"/>
        <w:szCs w:val="22"/>
        <w:u w:val="single"/>
      </w:rPr>
      <w:t xml:space="preserve"> 2010</w:t>
    </w:r>
    <w:r w:rsidR="009771AA" w:rsidRPr="00013D11">
      <w:rPr>
        <w:rFonts w:ascii="Arial" w:hAnsi="Arial" w:cs="Arial"/>
        <w:b/>
        <w:bCs/>
        <w:color w:val="000000"/>
        <w:sz w:val="22"/>
        <w:szCs w:val="22"/>
      </w:rPr>
      <w:t xml:space="preserve"> </w:t>
    </w:r>
  </w:p>
  <w:p w:rsidR="009771AA" w:rsidRPr="00013D11" w:rsidRDefault="009771AA" w:rsidP="0064778E">
    <w:pPr>
      <w:autoSpaceDE w:val="0"/>
      <w:autoSpaceDN w:val="0"/>
      <w:adjustRightInd w:val="0"/>
      <w:spacing w:before="120"/>
      <w:jc w:val="both"/>
      <w:rPr>
        <w:rFonts w:ascii="Arial" w:hAnsi="Arial" w:cs="Arial"/>
        <w:b/>
        <w:sz w:val="22"/>
        <w:szCs w:val="22"/>
        <w:u w:val="single"/>
      </w:rPr>
    </w:pPr>
    <w:r w:rsidRPr="00013D11">
      <w:rPr>
        <w:rFonts w:ascii="Arial" w:hAnsi="Arial" w:cs="Arial"/>
        <w:b/>
        <w:bCs/>
        <w:sz w:val="22"/>
        <w:szCs w:val="22"/>
        <w:u w:val="single"/>
      </w:rPr>
      <w:t xml:space="preserve">Revised State Procurement Policy </w:t>
    </w:r>
  </w:p>
  <w:p w:rsidR="009771AA" w:rsidRPr="00013D11" w:rsidRDefault="009771AA" w:rsidP="0064778E">
    <w:pPr>
      <w:autoSpaceDE w:val="0"/>
      <w:autoSpaceDN w:val="0"/>
      <w:adjustRightInd w:val="0"/>
      <w:spacing w:before="120"/>
      <w:jc w:val="both"/>
      <w:rPr>
        <w:rFonts w:ascii="Arial" w:hAnsi="Arial" w:cs="Arial"/>
        <w:b/>
        <w:sz w:val="22"/>
        <w:szCs w:val="22"/>
        <w:u w:val="single"/>
      </w:rPr>
    </w:pPr>
    <w:r w:rsidRPr="00013D11">
      <w:rPr>
        <w:rFonts w:ascii="Arial" w:hAnsi="Arial" w:cs="Arial"/>
        <w:b/>
        <w:bCs/>
        <w:sz w:val="22"/>
        <w:szCs w:val="22"/>
        <w:u w:val="single"/>
      </w:rPr>
      <w:t>Minister for Public Works and Information and Communication Technology</w:t>
    </w:r>
  </w:p>
  <w:p w:rsidR="009771AA" w:rsidRDefault="00977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E5"/>
    <w:multiLevelType w:val="hybridMultilevel"/>
    <w:tmpl w:val="E13C3EA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7FE1EA9"/>
    <w:multiLevelType w:val="hybridMultilevel"/>
    <w:tmpl w:val="F63CEBD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49126EA1"/>
    <w:multiLevelType w:val="hybridMultilevel"/>
    <w:tmpl w:val="CDD6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BE5EE4"/>
    <w:multiLevelType w:val="hybridMultilevel"/>
    <w:tmpl w:val="8C2C08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C1"/>
    <w:rsid w:val="00013D11"/>
    <w:rsid w:val="00081389"/>
    <w:rsid w:val="00113643"/>
    <w:rsid w:val="00165914"/>
    <w:rsid w:val="0017509D"/>
    <w:rsid w:val="001B3A1D"/>
    <w:rsid w:val="002677B3"/>
    <w:rsid w:val="002F161F"/>
    <w:rsid w:val="003056A3"/>
    <w:rsid w:val="003636D5"/>
    <w:rsid w:val="004579BB"/>
    <w:rsid w:val="004B0761"/>
    <w:rsid w:val="004B383D"/>
    <w:rsid w:val="00506725"/>
    <w:rsid w:val="005A60B6"/>
    <w:rsid w:val="0064778E"/>
    <w:rsid w:val="0067573B"/>
    <w:rsid w:val="006B28AC"/>
    <w:rsid w:val="00732C41"/>
    <w:rsid w:val="008728ED"/>
    <w:rsid w:val="009771AA"/>
    <w:rsid w:val="00980E89"/>
    <w:rsid w:val="0099234B"/>
    <w:rsid w:val="009D2501"/>
    <w:rsid w:val="009E0947"/>
    <w:rsid w:val="009E6598"/>
    <w:rsid w:val="00BB7ACC"/>
    <w:rsid w:val="00BC329A"/>
    <w:rsid w:val="00BE079E"/>
    <w:rsid w:val="00BF685E"/>
    <w:rsid w:val="00C220EF"/>
    <w:rsid w:val="00C273DF"/>
    <w:rsid w:val="00C62E14"/>
    <w:rsid w:val="00CD2858"/>
    <w:rsid w:val="00D57319"/>
    <w:rsid w:val="00D76973"/>
    <w:rsid w:val="00E10C32"/>
    <w:rsid w:val="00F13CB2"/>
    <w:rsid w:val="00F40777"/>
    <w:rsid w:val="00F84CE9"/>
    <w:rsid w:val="00FB40A5"/>
    <w:rsid w:val="00FC1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0C1"/>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10C1"/>
    <w:pPr>
      <w:tabs>
        <w:tab w:val="center" w:pos="4153"/>
        <w:tab w:val="right" w:pos="8306"/>
      </w:tabs>
    </w:pPr>
    <w:rPr>
      <w:color w:val="auto"/>
    </w:rPr>
  </w:style>
  <w:style w:type="paragraph" w:customStyle="1" w:styleId="Char2CharCharChar">
    <w:name w:val="Char2 Char Char Char"/>
    <w:basedOn w:val="Normal"/>
    <w:rsid w:val="00FC10C1"/>
    <w:rPr>
      <w:rFonts w:ascii="Arial" w:eastAsia="MS Mincho" w:hAnsi="Arial"/>
      <w:color w:val="auto"/>
      <w:sz w:val="22"/>
      <w:lang w:eastAsia="en-US"/>
    </w:rPr>
  </w:style>
  <w:style w:type="character" w:styleId="Hyperlink">
    <w:name w:val="Hyperlink"/>
    <w:basedOn w:val="DefaultParagraphFont"/>
    <w:rsid w:val="00F84CE9"/>
    <w:rPr>
      <w:color w:val="0000FF"/>
      <w:u w:val="single"/>
    </w:rPr>
  </w:style>
  <w:style w:type="paragraph" w:styleId="Footer">
    <w:name w:val="footer"/>
    <w:basedOn w:val="Normal"/>
    <w:link w:val="FooterChar"/>
    <w:rsid w:val="00013D11"/>
    <w:pPr>
      <w:tabs>
        <w:tab w:val="center" w:pos="4513"/>
        <w:tab w:val="right" w:pos="9026"/>
      </w:tabs>
    </w:pPr>
  </w:style>
  <w:style w:type="character" w:customStyle="1" w:styleId="FooterChar">
    <w:name w:val="Footer Char"/>
    <w:basedOn w:val="DefaultParagraphFont"/>
    <w:link w:val="Footer"/>
    <w:rsid w:val="00013D11"/>
    <w:rPr>
      <w:color w:val="000000"/>
      <w:sz w:val="24"/>
    </w:rPr>
  </w:style>
  <w:style w:type="paragraph" w:styleId="BalloonText">
    <w:name w:val="Balloon Text"/>
    <w:basedOn w:val="Normal"/>
    <w:link w:val="BalloonTextChar"/>
    <w:rsid w:val="001B3A1D"/>
    <w:rPr>
      <w:rFonts w:ascii="Tahoma" w:hAnsi="Tahoma" w:cs="Tahoma"/>
      <w:sz w:val="16"/>
      <w:szCs w:val="16"/>
    </w:rPr>
  </w:style>
  <w:style w:type="character" w:customStyle="1" w:styleId="BalloonTextChar">
    <w:name w:val="Balloon Text Char"/>
    <w:basedOn w:val="DefaultParagraphFont"/>
    <w:link w:val="BalloonText"/>
    <w:rsid w:val="001B3A1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922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1072</CharactersWithSpaces>
  <SharedDoc>false</SharedDoc>
  <HyperlinkBase>https://www.cabinet.qld.gov.au/documents/2010/Aug/Revised State Procurement Policy/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purchasing</cp:keywords>
  <dc:description/>
  <cp:lastModifiedBy/>
  <cp:revision>2</cp:revision>
  <dcterms:created xsi:type="dcterms:W3CDTF">2017-10-24T22:18:00Z</dcterms:created>
  <dcterms:modified xsi:type="dcterms:W3CDTF">2018-03-06T01:01:00Z</dcterms:modified>
  <cp:category>Procurement</cp:category>
</cp:coreProperties>
</file>